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w:t>
      </w:r>
      <w:proofErr w:type="spellStart"/>
      <w:r w:rsidRPr="00F57E29">
        <w:rPr>
          <w:rFonts w:eastAsia="Times New Roman"/>
          <w:b/>
          <w:bCs/>
          <w:szCs w:val="28"/>
        </w:rPr>
        <w:t>подмярка</w:t>
      </w:r>
      <w:proofErr w:type="spellEnd"/>
      <w:r w:rsidRPr="00F57E29">
        <w:rPr>
          <w:rFonts w:eastAsia="Times New Roman"/>
          <w:b/>
          <w:bCs/>
          <w:szCs w:val="28"/>
        </w:rPr>
        <w:t xml:space="preserve">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38FBFD2F" w:rsidR="003A05D4" w:rsidRPr="00F57E29" w:rsidRDefault="00A4201E" w:rsidP="00D518AD">
      <w:pPr>
        <w:spacing w:after="0" w:line="360" w:lineRule="auto"/>
        <w:ind w:firstLine="720"/>
        <w:jc w:val="both"/>
        <w:rPr>
          <w:snapToGrid w:val="0"/>
        </w:rPr>
      </w:pPr>
      <w:r w:rsidRPr="00F57E29">
        <w:rPr>
          <w:snapToGrid w:val="0"/>
        </w:rPr>
        <w:br w:type="page"/>
      </w:r>
      <w:r w:rsidR="00B06765" w:rsidRPr="00B06765">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 г., в сила от 01.07.2022 г.)(ЗУСЕФСУ),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B06765" w:rsidRPr="00B06765">
        <w:rPr>
          <w:snapToGrid w:val="0"/>
        </w:rPr>
        <w:t>обн</w:t>
      </w:r>
      <w:proofErr w:type="spellEnd"/>
      <w:r w:rsidR="00B06765" w:rsidRPr="00B06765">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362CCFDD"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proofErr w:type="spellStart"/>
      <w:r w:rsidR="00D32D07" w:rsidRPr="00F57E29">
        <w:rPr>
          <w:snapToGrid w:val="0"/>
        </w:rPr>
        <w:t>подмярка</w:t>
      </w:r>
      <w:proofErr w:type="spellEnd"/>
      <w:r w:rsidR="00D32D07" w:rsidRPr="00F57E29">
        <w:rPr>
          <w:snapToGrid w:val="0"/>
        </w:rPr>
        <w:t xml:space="preserve">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w:t>
      </w:r>
      <w:r w:rsidR="00B06765">
        <w:rPr>
          <w:snapToGrid w:val="0"/>
        </w:rPr>
        <w:t>то</w:t>
      </w:r>
      <w:r w:rsidR="00475C45">
        <w:rPr>
          <w:snapToGrid w:val="0"/>
        </w:rPr>
        <w:t xml:space="preserve"> на Европейския съюз)</w:t>
      </w:r>
      <w:r w:rsidR="00A4201E" w:rsidRPr="00F57E29">
        <w:rPr>
          <w:snapToGrid w:val="0"/>
        </w:rPr>
        <w:t>.</w:t>
      </w:r>
    </w:p>
    <w:p w14:paraId="5A63A694" w14:textId="59C4BCC2"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 xml:space="preserve">кандидатстването по </w:t>
      </w:r>
      <w:proofErr w:type="spellStart"/>
      <w:r w:rsidR="00D32D07" w:rsidRPr="00F57E29">
        <w:rPr>
          <w:lang w:eastAsia="fr-FR"/>
        </w:rPr>
        <w:t>подмярка</w:t>
      </w:r>
      <w:proofErr w:type="spellEnd"/>
      <w:r w:rsidR="00D32D07" w:rsidRPr="00F57E29">
        <w:rPr>
          <w:lang w:eastAsia="fr-FR"/>
        </w:rPr>
        <w:t xml:space="preserve"> 7.2 документи и извършени проверки по чл. 29, ал. 2 от ЗУСЕ</w:t>
      </w:r>
      <w:r w:rsidR="00B06765">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77777777" w:rsidR="00EA0422" w:rsidRPr="00F57E29" w:rsidRDefault="00EA0422" w:rsidP="00D518AD">
      <w:pPr>
        <w:pStyle w:val="ListParagraph"/>
        <w:spacing w:after="0" w:line="360" w:lineRule="auto"/>
        <w:ind w:left="0"/>
        <w:jc w:val="both"/>
        <w:rPr>
          <w:lang w:eastAsia="fr-FR"/>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 xml:space="preserve">по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0F0BDD77" w14:textId="53E3C490" w:rsidR="009010E0" w:rsidRPr="0029224A" w:rsidRDefault="00EA0422" w:rsidP="00D518AD">
      <w:pPr>
        <w:spacing w:after="0" w:line="360" w:lineRule="auto"/>
        <w:ind w:firstLine="720"/>
        <w:jc w:val="both"/>
      </w:pPr>
      <w:r w:rsidRPr="00F57E29">
        <w:rPr>
          <w:b/>
          <w:lang w:eastAsia="fr-FR"/>
        </w:rPr>
        <w:t>Чл. 3.</w:t>
      </w:r>
      <w:r w:rsidRPr="00F57E29">
        <w:rPr>
          <w:lang w:eastAsia="fr-FR"/>
        </w:rPr>
        <w:t xml:space="preserve"> (1) </w:t>
      </w:r>
      <w:r w:rsidR="00A12065" w:rsidRPr="00F57E29">
        <w:rPr>
          <w:b/>
        </w:rPr>
        <w:t>БЕНЕФИЦИЕНТЪТ</w:t>
      </w:r>
      <w:r w:rsidR="00A12065" w:rsidRPr="00F57E29">
        <w:t xml:space="preserve"> </w:t>
      </w:r>
      <w:r w:rsidRPr="00F57E29">
        <w:t xml:space="preserve">може да получи </w:t>
      </w:r>
      <w:r w:rsidRPr="0064453D">
        <w:t>авансово</w:t>
      </w:r>
      <w:r w:rsidR="00202BCB" w:rsidRPr="0064453D">
        <w:t xml:space="preserve"> и </w:t>
      </w:r>
      <w:r w:rsidR="0064453D" w:rsidRPr="0064453D">
        <w:t>междинно</w:t>
      </w:r>
      <w:r w:rsidR="00202BCB" w:rsidRPr="0064453D">
        <w:t xml:space="preserve"> </w:t>
      </w:r>
      <w:r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7F13B8">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53C5064C" w:rsidR="009010E0" w:rsidRPr="00F57E29" w:rsidRDefault="00FA2257" w:rsidP="00AC524E">
      <w:pPr>
        <w:spacing w:after="0" w:line="360" w:lineRule="auto"/>
        <w:ind w:firstLine="720"/>
        <w:jc w:val="both"/>
        <w:rPr>
          <w:shd w:val="clear" w:color="auto" w:fill="FEFEFE"/>
        </w:rPr>
      </w:pPr>
      <w:r w:rsidRPr="00841CDC">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5E004E78"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836641">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24E702BF" w:rsidR="00EA0422" w:rsidRPr="00F57E29" w:rsidRDefault="009010E0" w:rsidP="00D518AD">
      <w:pPr>
        <w:autoSpaceDE w:val="0"/>
        <w:spacing w:after="0" w:line="360" w:lineRule="auto"/>
        <w:ind w:right="-1" w:firstLine="720"/>
        <w:jc w:val="both"/>
      </w:pPr>
      <w:r w:rsidRPr="00F57E29">
        <w:rPr>
          <w:shd w:val="clear" w:color="auto" w:fill="FEFEFE"/>
        </w:rPr>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19F1A384"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045226">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A8167C" w:rsidRPr="00A8167C">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4CCF3E2A"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lastRenderedPageBreak/>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836641">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33DD572C"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30AB4AEC"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B06765">
        <w:t xml:space="preserve"> </w:t>
      </w:r>
      <w:r w:rsidR="00C10807">
        <w:t>3</w:t>
      </w:r>
      <w:r w:rsidR="000D08D8">
        <w:t>0</w:t>
      </w:r>
      <w:r w:rsidR="006E036E" w:rsidRPr="00F57E29">
        <w:t xml:space="preserve"> месеца, считано от датата на подписването на този договор, но не по-късно от </w:t>
      </w:r>
      <w:r w:rsidR="00482DBB">
        <w:t>30</w:t>
      </w:r>
      <w:r w:rsidR="00B06765">
        <w:t>.</w:t>
      </w:r>
      <w:r w:rsidR="00B06765">
        <w:t>09.</w:t>
      </w:r>
      <w:bookmarkStart w:id="3" w:name="_GoBack"/>
      <w:r w:rsidR="00F57E29">
        <w:t>2025</w:t>
      </w:r>
      <w:bookmarkEnd w:id="3"/>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8"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7BFEB9CB"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132715" w:rsidRPr="00531C59">
        <w:rPr>
          <w:shd w:val="clear" w:color="auto" w:fill="FEFEFE"/>
        </w:rPr>
        <w:t xml:space="preserve">Когато до изтичането на срока по изр. първо </w:t>
      </w:r>
      <w:r w:rsidR="00132715" w:rsidRPr="00531C59">
        <w:rPr>
          <w:b/>
        </w:rPr>
        <w:t>Бенефициентът</w:t>
      </w:r>
      <w:r w:rsidR="00132715">
        <w:rPr>
          <w:b/>
        </w:rPr>
        <w:t xml:space="preserve"> </w:t>
      </w:r>
      <w:r w:rsidR="00132715" w:rsidRPr="00531C59">
        <w:rPr>
          <w:shd w:val="clear" w:color="auto" w:fill="FEFEFE"/>
        </w:rPr>
        <w:t xml:space="preserve">представи на </w:t>
      </w:r>
      <w:r w:rsidR="00132715" w:rsidRPr="00531C59">
        <w:rPr>
          <w:b/>
          <w:shd w:val="clear" w:color="auto" w:fill="FEFEFE"/>
        </w:rPr>
        <w:t>ФОНДА</w:t>
      </w:r>
      <w:r w:rsidR="00132715" w:rsidRPr="00531C59">
        <w:rPr>
          <w:shd w:val="clear" w:color="auto" w:fill="FEFEFE"/>
        </w:rPr>
        <w:t xml:space="preserve"> документи, пряко свързани с изпълнението, от които е видно, че е извършил или извършва реални действия и започването </w:t>
      </w:r>
      <w:r w:rsidR="00132715" w:rsidRPr="00531C59">
        <w:rPr>
          <w:shd w:val="clear" w:color="auto" w:fill="FEFEFE"/>
        </w:rPr>
        <w:lastRenderedPageBreak/>
        <w:t xml:space="preserve">на изпълнението е предстоящо, този срок </w:t>
      </w:r>
      <w:r w:rsidR="00132715" w:rsidRPr="00B62A8B">
        <w:rPr>
          <w:shd w:val="clear" w:color="auto" w:fill="FEFEFE"/>
        </w:rPr>
        <w:t>може да бъде удължен</w:t>
      </w:r>
      <w:r w:rsidR="00132715" w:rsidRPr="00531C59">
        <w:rPr>
          <w:shd w:val="clear" w:color="auto" w:fill="FEFEFE"/>
        </w:rPr>
        <w:t xml:space="preserve"> по преценка на </w:t>
      </w:r>
      <w:r w:rsidR="00132715" w:rsidRPr="00531C59">
        <w:rPr>
          <w:b/>
          <w:shd w:val="clear" w:color="auto" w:fill="FEFEFE"/>
        </w:rPr>
        <w:t>ФОНДА</w:t>
      </w:r>
      <w:r w:rsidR="00132715" w:rsidRPr="00531C59">
        <w:rPr>
          <w:shd w:val="clear" w:color="auto" w:fill="FEFEFE"/>
        </w:rPr>
        <w:t>, но с не повече от три месеца</w:t>
      </w:r>
      <w:r w:rsidR="00132715">
        <w:rPr>
          <w:shd w:val="clear" w:color="auto" w:fill="FEFEFE"/>
        </w:rPr>
        <w:t>.</w:t>
      </w:r>
    </w:p>
    <w:p w14:paraId="332CFC32" w14:textId="5FE7023C"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3C4DA904"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0A59C38A"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67DF277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lastRenderedPageBreak/>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06765">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10CFF955"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B06765">
        <w:t>чл</w:t>
      </w:r>
      <w:r w:rsidRPr="00F57E29">
        <w:t>.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250588">
        <w:t>100</w:t>
      </w:r>
      <w:r w:rsidRPr="00F57E29">
        <w:t xml:space="preserve"> 000 евро</w:t>
      </w:r>
      <w:r w:rsidR="00B149D1" w:rsidRPr="00F57E29">
        <w:t>;</w:t>
      </w:r>
    </w:p>
    <w:p w14:paraId="42F15232" w14:textId="32276E85"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250588">
        <w:rPr>
          <w:rFonts w:cs="Times New Roman"/>
          <w:szCs w:val="24"/>
          <w:lang w:val="bg-BG"/>
        </w:rPr>
        <w:t>100</w:t>
      </w:r>
      <w:r w:rsidR="00B06765">
        <w:rPr>
          <w:rFonts w:cs="Times New Roman"/>
          <w:szCs w:val="24"/>
          <w:lang w:val="bg-BG"/>
        </w:rPr>
        <w:t xml:space="preserve">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3FC3AF46"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1. </w:t>
      </w:r>
      <w:r w:rsidR="00B06765" w:rsidRPr="00B06765">
        <w:rPr>
          <w:rFonts w:cs="Times New Roman"/>
          <w:szCs w:val="24"/>
          <w:lang w:val="bg-BG"/>
        </w:rPr>
        <w:t xml:space="preserve">да спазва задълженията и ангажиментите, установени в Раздел ІІ, т. 2, подточки. 2.8 и 2.9 от Условията за изпълнение, които са </w:t>
      </w:r>
      <w:proofErr w:type="spellStart"/>
      <w:r w:rsidR="00B06765" w:rsidRPr="00B06765">
        <w:rPr>
          <w:rFonts w:cs="Times New Roman"/>
          <w:szCs w:val="24"/>
          <w:lang w:val="bg-BG"/>
        </w:rPr>
        <w:t>относими</w:t>
      </w:r>
      <w:proofErr w:type="spellEnd"/>
      <w:r w:rsidR="00B06765" w:rsidRPr="00B06765">
        <w:rPr>
          <w:rFonts w:cs="Times New Roman"/>
          <w:szCs w:val="24"/>
          <w:lang w:val="bg-BG"/>
        </w:rPr>
        <w:t xml:space="preserve"> към одобрения му проект, предмет на настоящия договор</w:t>
      </w:r>
      <w:r>
        <w:rPr>
          <w:rFonts w:cs="Times New Roman"/>
          <w:szCs w:val="24"/>
          <w:lang w:val="bg-BG"/>
        </w:rPr>
        <w:t>.</w:t>
      </w:r>
    </w:p>
    <w:p w14:paraId="528EBBB0" w14:textId="30AF4ABE"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72EDF9E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w:t>
      </w:r>
      <w:r w:rsidR="00B06765" w:rsidRPr="00B06765">
        <w:rPr>
          <w:rFonts w:cs="Times New Roman"/>
          <w:szCs w:val="24"/>
          <w:lang w:val="bg-BG"/>
        </w:rPr>
        <w:t>Задълженията по ал. 1 се считат за изпълнени, когато към датата на подаване на искането за окончателно плащане и до изтичане на срока на мониторинг по чл. 6 всички подпомагани активи се използват за дейността на БЕНЕФИЦИЕНТА на територията на населеното място (Приложение № 3)</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lastRenderedPageBreak/>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6166C5E3"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w:t>
      </w:r>
      <w:proofErr w:type="spellStart"/>
      <w:r w:rsidR="00D518AD" w:rsidRPr="00F57E29">
        <w:rPr>
          <w:shd w:val="clear" w:color="auto" w:fill="FEFEFE"/>
        </w:rPr>
        <w:t>непредставяне</w:t>
      </w:r>
      <w:proofErr w:type="spellEnd"/>
      <w:r w:rsidR="00D518AD" w:rsidRPr="00F57E29">
        <w:rPr>
          <w:shd w:val="clear" w:color="auto" w:fill="FEFEFE"/>
        </w:rPr>
        <w:t xml:space="preserve">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3089697E" w14:textId="77777777" w:rsidR="00362AF5" w:rsidRPr="00F9404D" w:rsidRDefault="00362AF5" w:rsidP="00F9404D">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F9404D">
        <w:rPr>
          <w:shd w:val="clear" w:color="auto" w:fill="FEFEFE"/>
        </w:rPr>
        <w:t xml:space="preserve">Фондът </w:t>
      </w:r>
      <w:r w:rsidRPr="00065C74">
        <w:rPr>
          <w:shd w:val="clear" w:color="auto" w:fill="FEFEFE"/>
        </w:rPr>
        <w:t xml:space="preserve">има право да публикува информация за </w:t>
      </w:r>
      <w:r w:rsidRPr="00F9404D">
        <w:rPr>
          <w:shd w:val="clear" w:color="auto" w:fill="FEFEFE"/>
        </w:rPr>
        <w:t xml:space="preserve">Бенефициента </w:t>
      </w:r>
      <w:r w:rsidRPr="00065C74">
        <w:rPr>
          <w:shd w:val="clear" w:color="auto" w:fill="FEFEFE"/>
        </w:rPr>
        <w:t>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Pr>
          <w:shd w:val="clear" w:color="auto" w:fill="FEFEFE"/>
        </w:rPr>
        <w:t xml:space="preserve"> </w:t>
      </w:r>
      <w:r w:rsidRPr="00F9404D">
        <w:rPr>
          <w:shd w:val="clear" w:color="auto" w:fill="FEFEFE"/>
        </w:rPr>
        <w:t xml:space="preserve">и съгласно Единния наръчник на бенефициента за </w:t>
      </w:r>
      <w:r w:rsidRPr="00F9404D">
        <w:rPr>
          <w:shd w:val="clear" w:color="auto" w:fill="FEFEFE"/>
        </w:rPr>
        <w:lastRenderedPageBreak/>
        <w:t>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7F13B8">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7F13B8">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7F13B8">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w:t>
      </w:r>
      <w:proofErr w:type="spellStart"/>
      <w:r w:rsidR="00182988" w:rsidRPr="00F57E29">
        <w:rPr>
          <w:shd w:val="clear" w:color="auto" w:fill="FEFEFE"/>
        </w:rPr>
        <w:t>непредставяне</w:t>
      </w:r>
      <w:proofErr w:type="spellEnd"/>
      <w:r w:rsidR="00182988" w:rsidRPr="00F57E29">
        <w:rPr>
          <w:shd w:val="clear" w:color="auto" w:fill="FEFEFE"/>
        </w:rPr>
        <w:t xml:space="preserve">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lastRenderedPageBreak/>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38E4439C"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A8167C" w:rsidRPr="00A8167C">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4C4B0999" w:rsidR="00F07200" w:rsidRPr="00F07200" w:rsidRDefault="00F07200" w:rsidP="00D518AD">
      <w:pPr>
        <w:spacing w:after="0" w:line="360" w:lineRule="auto"/>
        <w:ind w:firstLine="708"/>
        <w:jc w:val="both"/>
      </w:pPr>
      <w:r>
        <w:t xml:space="preserve">10. </w:t>
      </w:r>
      <w:r>
        <w:rPr>
          <w:b/>
        </w:rPr>
        <w:t xml:space="preserve">БЕНЕФИЦИЕНТЪТ </w:t>
      </w:r>
      <w:r w:rsidR="00AF1B31" w:rsidRPr="00AF1B31">
        <w:t>не изпълнява едно или повече от задълженията си по чл. 9, ал.1 от настоящия договор</w:t>
      </w:r>
      <w:r>
        <w:t>.</w:t>
      </w:r>
    </w:p>
    <w:p w14:paraId="42C9D06C" w14:textId="1F6E2663"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B06765">
        <w:rPr>
          <w:shd w:val="clear" w:color="auto" w:fill="FEFEFE"/>
        </w:rPr>
        <w:t>ФСУ</w:t>
      </w:r>
      <w:r w:rsidRPr="00F57E29">
        <w:t>;</w:t>
      </w:r>
    </w:p>
    <w:p w14:paraId="534D8AFC" w14:textId="448B07B7"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24B3E182"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23DEEC87"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3A24C8A4"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lastRenderedPageBreak/>
        <w:t xml:space="preserve">а) да са извършени срещу съответните </w:t>
      </w:r>
      <w:proofErr w:type="spellStart"/>
      <w:r w:rsidRPr="00F57E29">
        <w:t>разхо</w:t>
      </w:r>
      <w:r w:rsidR="00F70DF5">
        <w:t>д</w:t>
      </w:r>
      <w:r w:rsidRPr="00F57E29">
        <w:t>о</w:t>
      </w:r>
      <w:r w:rsidR="001C03FB">
        <w:t>о</w:t>
      </w:r>
      <w:r w:rsidRPr="00F57E29">
        <w:t>правдателни</w:t>
      </w:r>
      <w:proofErr w:type="spellEnd"/>
      <w:r w:rsidRPr="00F57E29">
        <w:t xml:space="preserve">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692BF07E"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55B5F8F3"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411C60B0" w:rsidR="00FD1ECA" w:rsidRPr="00F57E29" w:rsidRDefault="00F0501B" w:rsidP="00D518AD">
      <w:pPr>
        <w:spacing w:after="0" w:line="360" w:lineRule="auto"/>
        <w:ind w:firstLine="708"/>
        <w:jc w:val="both"/>
        <w:rPr>
          <w:shd w:val="clear" w:color="auto" w:fill="FEFEFE"/>
        </w:rPr>
      </w:pPr>
      <w:r w:rsidRPr="00F57E29">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78B614AE"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1C7A7630"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250588">
        <w:t>100</w:t>
      </w:r>
      <w:r w:rsidR="00CA1931" w:rsidRPr="00F57E29">
        <w:t xml:space="preserve"> 000 евро</w:t>
      </w:r>
      <w:r w:rsidR="00002794" w:rsidRPr="00F57E29">
        <w:t>;</w:t>
      </w:r>
    </w:p>
    <w:p w14:paraId="3DBB9F90" w14:textId="619B94B4" w:rsidR="009534FE" w:rsidRPr="00F57E29" w:rsidRDefault="00E42927" w:rsidP="009B7685">
      <w:pPr>
        <w:spacing w:after="0" w:line="360" w:lineRule="auto"/>
        <w:ind w:firstLine="708"/>
        <w:jc w:val="both"/>
        <w:rPr>
          <w:iCs/>
        </w:rPr>
      </w:pPr>
      <w:r>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 xml:space="preserve">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w:t>
      </w:r>
      <w:r w:rsidR="004C4185" w:rsidRPr="00F57E29">
        <w:rPr>
          <w:iCs/>
        </w:rPr>
        <w:lastRenderedPageBreak/>
        <w:t>администриране и контрол, мерките за развитие на селските райони и кръстосаното съответствие.</w:t>
      </w:r>
    </w:p>
    <w:p w14:paraId="61E52250" w14:textId="4F94E9B9"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25E11ED9"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B06765">
        <w:rPr>
          <w:rFonts w:cs="Times New Roman"/>
          <w:szCs w:val="24"/>
          <w:lang w:val="bg-BG"/>
        </w:rPr>
        <w:t xml:space="preserve"> несъответствия</w:t>
      </w:r>
      <w:r w:rsidR="00442829" w:rsidRPr="00F57E29">
        <w:rPr>
          <w:rFonts w:cs="Times New Roman"/>
          <w:szCs w:val="24"/>
          <w:lang w:val="bg-BG"/>
        </w:rPr>
        <w:t xml:space="preserve">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08349AE7"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B06765">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3433CB45"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56367DE4"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AF1B31" w:rsidRPr="00AF1B31">
        <w:rPr>
          <w:shd w:val="clear" w:color="auto" w:fill="FEFEFE"/>
        </w:rPr>
        <w:t>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превишението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6340A65"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2100D0">
        <w:rPr>
          <w:shd w:val="clear" w:color="auto" w:fill="FEFEFE"/>
        </w:rPr>
        <w:t xml:space="preserve">на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lastRenderedPageBreak/>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2C8D7D1B"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w:t>
      </w:r>
      <w:r w:rsidR="002100D0">
        <w:rPr>
          <w:shd w:val="clear" w:color="auto" w:fill="FEFEFE"/>
        </w:rPr>
        <w:t>ето. В случай, че не го подпише</w:t>
      </w:r>
      <w:r w:rsidR="00AE3653" w:rsidRPr="00D9025F">
        <w:rPr>
          <w:shd w:val="clear" w:color="auto" w:fill="FEFEFE"/>
        </w:rPr>
        <w:t xml:space="preserve"> в посочения срок</w:t>
      </w:r>
      <w:r w:rsidR="002100D0">
        <w:rPr>
          <w:shd w:val="clear" w:color="auto" w:fill="FEFEFE"/>
        </w:rPr>
        <w:t>,</w:t>
      </w:r>
      <w:r w:rsidR="00AE3653" w:rsidRPr="00D9025F">
        <w:rPr>
          <w:shd w:val="clear" w:color="auto" w:fill="FEFEFE"/>
        </w:rPr>
        <w:t xml:space="preserve">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54A8E7CF" w:rsidR="00CE708F" w:rsidRPr="00F57E29" w:rsidRDefault="00CE708F" w:rsidP="00AF1B31">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AF1B31" w:rsidRPr="00AF1B31">
        <w:rPr>
          <w:rFonts w:cs="Times New Roman"/>
          <w:szCs w:val="24"/>
          <w:lang w:val="bg-BG"/>
        </w:rPr>
        <w:t xml:space="preserve">че се </w:t>
      </w:r>
      <w:r w:rsidR="00AF1B31">
        <w:rPr>
          <w:rFonts w:cs="Times New Roman"/>
          <w:szCs w:val="24"/>
          <w:lang w:val="bg-BG"/>
        </w:rPr>
        <w:t xml:space="preserve">отказва от помощта, направено в </w:t>
      </w:r>
      <w:r w:rsidR="00AF1B31" w:rsidRPr="00AF1B31">
        <w:rPr>
          <w:rFonts w:cs="Times New Roman"/>
          <w:szCs w:val="24"/>
          <w:lang w:val="bg-BG"/>
        </w:rPr>
        <w:t>срока по чл. 5, ал. 6.</w:t>
      </w:r>
      <w:r w:rsidR="00E90610" w:rsidRPr="00F57E29">
        <w:rPr>
          <w:rFonts w:cs="Times New Roman"/>
          <w:szCs w:val="24"/>
          <w:lang w:val="bg-BG"/>
        </w:rPr>
        <w:t>;</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08F5DC85"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62372577"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4B053DDD"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AF1B31">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00AF1B31">
        <w:rPr>
          <w:rFonts w:cs="Times New Roman"/>
          <w:szCs w:val="24"/>
          <w:lang w:val="bg-BG"/>
        </w:rPr>
        <w:t>.</w:t>
      </w:r>
    </w:p>
    <w:p w14:paraId="5C2B1FEB" w14:textId="66232017" w:rsidR="00AF1B31" w:rsidRPr="00F57E29" w:rsidRDefault="00AF1B31" w:rsidP="00D518AD">
      <w:pPr>
        <w:pStyle w:val="BodyText"/>
        <w:tabs>
          <w:tab w:val="center" w:pos="0"/>
        </w:tabs>
        <w:spacing w:line="360" w:lineRule="auto"/>
        <w:rPr>
          <w:rFonts w:cs="Times New Roman"/>
          <w:szCs w:val="24"/>
          <w:lang w:val="bg-BG"/>
        </w:rPr>
      </w:pPr>
      <w:r>
        <w:rPr>
          <w:rFonts w:cs="Times New Roman"/>
          <w:szCs w:val="24"/>
          <w:lang w:val="bg-BG"/>
        </w:rPr>
        <w:tab/>
        <w:t xml:space="preserve">4. </w:t>
      </w:r>
      <w:r w:rsidRPr="00AF1B31">
        <w:rPr>
          <w:rFonts w:cs="Times New Roman"/>
          <w:szCs w:val="24"/>
          <w:lang w:val="bg-BG"/>
        </w:rPr>
        <w:t>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6D51DB90"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AF1B31" w:rsidRPr="00AF1B31">
        <w:rPr>
          <w:rFonts w:cs="Times New Roman"/>
          <w:iCs/>
          <w:sz w:val="24"/>
          <w:szCs w:val="24"/>
          <w:lang w:val="bg-BG"/>
        </w:rPr>
        <w:t xml:space="preserve">В случаите по чл. 14, ал. 2, </w:t>
      </w:r>
      <w:r w:rsidR="002100D0">
        <w:rPr>
          <w:rFonts w:cs="Times New Roman"/>
          <w:iCs/>
          <w:sz w:val="24"/>
          <w:szCs w:val="24"/>
          <w:lang w:val="bg-BG"/>
        </w:rPr>
        <w:t>т.</w:t>
      </w:r>
      <w:r w:rsidR="00AF1B31" w:rsidRPr="00AF1B31">
        <w:rPr>
          <w:rFonts w:cs="Times New Roman"/>
          <w:iCs/>
          <w:sz w:val="24"/>
          <w:szCs w:val="24"/>
          <w:lang w:val="bg-BG"/>
        </w:rPr>
        <w:t xml:space="preserve">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5668B5EC"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lastRenderedPageBreak/>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7D4F7791" w:rsidR="00FC663C" w:rsidRPr="00FC663C" w:rsidRDefault="00FC663C" w:rsidP="00D518AD">
      <w:pPr>
        <w:pStyle w:val="BodyText"/>
        <w:tabs>
          <w:tab w:val="center" w:pos="0"/>
        </w:tabs>
        <w:spacing w:line="360" w:lineRule="auto"/>
        <w:ind w:firstLine="720"/>
        <w:rPr>
          <w:rFonts w:cs="Times New Roman"/>
          <w:szCs w:val="24"/>
          <w:lang w:val="bg-BG"/>
        </w:rPr>
      </w:pPr>
      <w:r w:rsidRPr="00F9404D">
        <w:rPr>
          <w:rFonts w:cs="Times New Roman"/>
          <w:szCs w:val="24"/>
          <w:lang w:val="bg-BG"/>
        </w:rPr>
        <w:t xml:space="preserve">(4) </w:t>
      </w:r>
      <w:r w:rsidRPr="00F9404D">
        <w:rPr>
          <w:rFonts w:cs="Times New Roman"/>
          <w:b/>
          <w:szCs w:val="24"/>
          <w:lang w:val="bg-BG"/>
        </w:rPr>
        <w:t>ФОНДЪТ</w:t>
      </w:r>
      <w:r w:rsidRPr="00F9404D">
        <w:rPr>
          <w:rFonts w:cs="Times New Roman"/>
          <w:szCs w:val="24"/>
          <w:lang w:val="bg-BG"/>
        </w:rPr>
        <w:t xml:space="preserve"> определя размера на подлежащите за възстановяване суми, съобразно </w:t>
      </w:r>
      <w:proofErr w:type="spellStart"/>
      <w:r w:rsidR="00CA7242" w:rsidRPr="00F9404D">
        <w:rPr>
          <w:iCs/>
        </w:rPr>
        <w:t>Правилата</w:t>
      </w:r>
      <w:proofErr w:type="spellEnd"/>
      <w:r w:rsidR="00CA7242" w:rsidRPr="00F9404D">
        <w:rPr>
          <w:iCs/>
        </w:rPr>
        <w:t xml:space="preserve"> </w:t>
      </w:r>
      <w:proofErr w:type="spellStart"/>
      <w:r w:rsidR="00CA7242" w:rsidRPr="00F9404D">
        <w:rPr>
          <w:iCs/>
        </w:rPr>
        <w:t>за</w:t>
      </w:r>
      <w:proofErr w:type="spellEnd"/>
      <w:r w:rsidR="00CA7242" w:rsidRPr="00F9404D">
        <w:rPr>
          <w:iCs/>
        </w:rPr>
        <w:t xml:space="preserve"> </w:t>
      </w:r>
      <w:proofErr w:type="spellStart"/>
      <w:r w:rsidR="00CA7242" w:rsidRPr="00F9404D">
        <w:rPr>
          <w:iCs/>
        </w:rPr>
        <w:t>определяне</w:t>
      </w:r>
      <w:proofErr w:type="spellEnd"/>
      <w:r w:rsidR="00CA7242" w:rsidRPr="00F9404D">
        <w:rPr>
          <w:iCs/>
        </w:rPr>
        <w:t xml:space="preserve"> </w:t>
      </w:r>
      <w:proofErr w:type="spellStart"/>
      <w:r w:rsidR="00CA7242" w:rsidRPr="00F9404D">
        <w:rPr>
          <w:iCs/>
        </w:rPr>
        <w:t>на</w:t>
      </w:r>
      <w:proofErr w:type="spellEnd"/>
      <w:r w:rsidR="00CA7242" w:rsidRPr="00F9404D">
        <w:rPr>
          <w:iCs/>
        </w:rPr>
        <w:t xml:space="preserve"> </w:t>
      </w:r>
      <w:proofErr w:type="spellStart"/>
      <w:r w:rsidR="00CA7242" w:rsidRPr="00F9404D">
        <w:rPr>
          <w:iCs/>
        </w:rPr>
        <w:t>размера</w:t>
      </w:r>
      <w:proofErr w:type="spellEnd"/>
      <w:r w:rsidR="00CA7242" w:rsidRPr="00F9404D">
        <w:rPr>
          <w:iCs/>
        </w:rPr>
        <w:t xml:space="preserve"> </w:t>
      </w:r>
      <w:proofErr w:type="spellStart"/>
      <w:r w:rsidR="00CA7242" w:rsidRPr="00F9404D">
        <w:rPr>
          <w:iCs/>
        </w:rPr>
        <w:t>на</w:t>
      </w:r>
      <w:proofErr w:type="spellEnd"/>
      <w:r w:rsidR="00CA7242" w:rsidRPr="00F9404D">
        <w:rPr>
          <w:iCs/>
        </w:rPr>
        <w:t xml:space="preserve"> </w:t>
      </w:r>
      <w:proofErr w:type="spellStart"/>
      <w:r w:rsidR="00CA7242" w:rsidRPr="00F9404D">
        <w:rPr>
          <w:iCs/>
        </w:rPr>
        <w:t>подлежащата</w:t>
      </w:r>
      <w:proofErr w:type="spellEnd"/>
      <w:r w:rsidR="00CA7242" w:rsidRPr="00F9404D">
        <w:rPr>
          <w:iCs/>
        </w:rPr>
        <w:t xml:space="preserve"> </w:t>
      </w:r>
      <w:proofErr w:type="spellStart"/>
      <w:r w:rsidR="00CA7242" w:rsidRPr="00F9404D">
        <w:rPr>
          <w:iCs/>
        </w:rPr>
        <w:t>на</w:t>
      </w:r>
      <w:proofErr w:type="spellEnd"/>
      <w:r w:rsidR="00CA7242" w:rsidRPr="00F9404D">
        <w:rPr>
          <w:iCs/>
        </w:rPr>
        <w:t xml:space="preserve"> </w:t>
      </w:r>
      <w:proofErr w:type="spellStart"/>
      <w:r w:rsidR="00CA7242" w:rsidRPr="00F9404D">
        <w:rPr>
          <w:iCs/>
        </w:rPr>
        <w:t>възстановяване</w:t>
      </w:r>
      <w:proofErr w:type="spellEnd"/>
      <w:r w:rsidR="00CA7242" w:rsidRPr="00F9404D">
        <w:rPr>
          <w:iCs/>
        </w:rPr>
        <w:t xml:space="preserve"> </w:t>
      </w:r>
      <w:proofErr w:type="spellStart"/>
      <w:r w:rsidR="00CA7242" w:rsidRPr="00F9404D">
        <w:rPr>
          <w:iCs/>
        </w:rPr>
        <w:t>безвъзмездна</w:t>
      </w:r>
      <w:proofErr w:type="spellEnd"/>
      <w:r w:rsidR="00CA7242" w:rsidRPr="00F9404D">
        <w:rPr>
          <w:iCs/>
        </w:rPr>
        <w:t xml:space="preserve"> </w:t>
      </w:r>
      <w:proofErr w:type="spellStart"/>
      <w:r w:rsidR="00CA7242" w:rsidRPr="00F9404D">
        <w:rPr>
          <w:iCs/>
        </w:rPr>
        <w:t>финансова</w:t>
      </w:r>
      <w:proofErr w:type="spellEnd"/>
      <w:r w:rsidR="00CA7242" w:rsidRPr="00F9404D">
        <w:rPr>
          <w:iCs/>
        </w:rPr>
        <w:t xml:space="preserve"> </w:t>
      </w:r>
      <w:proofErr w:type="spellStart"/>
      <w:r w:rsidR="00CA7242" w:rsidRPr="00F9404D">
        <w:rPr>
          <w:iCs/>
        </w:rPr>
        <w:t>помощ</w:t>
      </w:r>
      <w:proofErr w:type="spellEnd"/>
      <w:r w:rsidR="00CA7242" w:rsidRPr="00F9404D">
        <w:rPr>
          <w:iCs/>
        </w:rPr>
        <w:t xml:space="preserve"> </w:t>
      </w:r>
      <w:proofErr w:type="spellStart"/>
      <w:r w:rsidR="00CA7242" w:rsidRPr="00F9404D">
        <w:rPr>
          <w:iCs/>
        </w:rPr>
        <w:t>по</w:t>
      </w:r>
      <w:proofErr w:type="spellEnd"/>
      <w:r w:rsidR="00CA7242" w:rsidRPr="00F9404D">
        <w:rPr>
          <w:iCs/>
        </w:rPr>
        <w:t xml:space="preserve"> </w:t>
      </w:r>
      <w:proofErr w:type="spellStart"/>
      <w:r w:rsidR="00CA7242" w:rsidRPr="00F9404D">
        <w:rPr>
          <w:iCs/>
        </w:rPr>
        <w:t>чл</w:t>
      </w:r>
      <w:proofErr w:type="spellEnd"/>
      <w:r w:rsidR="00CA7242" w:rsidRPr="00F9404D">
        <w:rPr>
          <w:iCs/>
        </w:rPr>
        <w:t xml:space="preserve">. 27, </w:t>
      </w:r>
      <w:proofErr w:type="spellStart"/>
      <w:r w:rsidR="00CA7242" w:rsidRPr="00F9404D">
        <w:rPr>
          <w:iCs/>
        </w:rPr>
        <w:t>ал</w:t>
      </w:r>
      <w:proofErr w:type="spellEnd"/>
      <w:r w:rsidR="00CA7242" w:rsidRPr="00F9404D">
        <w:rPr>
          <w:iCs/>
        </w:rPr>
        <w:t xml:space="preserve">. 9 </w:t>
      </w:r>
      <w:proofErr w:type="spellStart"/>
      <w:r w:rsidR="00CA7242" w:rsidRPr="00F9404D">
        <w:rPr>
          <w:iCs/>
        </w:rPr>
        <w:t>от</w:t>
      </w:r>
      <w:proofErr w:type="spellEnd"/>
      <w:r w:rsidR="00CA7242" w:rsidRPr="00F9404D">
        <w:rPr>
          <w:iCs/>
        </w:rPr>
        <w:t xml:space="preserve"> ЗПЗП</w:t>
      </w:r>
      <w:r w:rsidRPr="00F9404D">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0A18035E"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работни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lastRenderedPageBreak/>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58E2C597"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4D05E4">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5FF34C10"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005756BE"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2100D0">
        <w:rPr>
          <w:rFonts w:eastAsia="Times New Roman"/>
          <w:bCs/>
        </w:rPr>
        <w:t>ФСУ</w:t>
      </w:r>
      <w:r w:rsidRPr="00F57E29">
        <w:rPr>
          <w:rFonts w:eastAsia="Times New Roman"/>
          <w:bCs/>
        </w:rPr>
        <w:t>).</w:t>
      </w:r>
    </w:p>
    <w:p w14:paraId="531E8814" w14:textId="4BA83C7D"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tab/>
        <w:t xml:space="preserve">д/ „Условия за изпълнение“ са Условията за изпълнение на проекти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w:t>
      </w:r>
      <w:r w:rsidRPr="00F57E29">
        <w:rPr>
          <w:rFonts w:eastAsia="Times New Roman"/>
          <w:bCs/>
        </w:rPr>
        <w:lastRenderedPageBreak/>
        <w:t xml:space="preserve">№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2100D0">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1E1F237F"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2100D0">
        <w:rPr>
          <w:snapToGrid w:val="0"/>
        </w:rPr>
        <w:t>ФСУ</w:t>
      </w:r>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4D312A59" w14:textId="77777777" w:rsidR="00CA7242" w:rsidRPr="0044676C" w:rsidRDefault="00CA7242" w:rsidP="00CA7242">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723269A0" w14:textId="4590B2AA" w:rsidR="00CA7242" w:rsidRPr="0029224A" w:rsidRDefault="00CA7242" w:rsidP="00CA7242">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836641">
        <w:rPr>
          <w:lang w:eastAsia="fr-FR"/>
        </w:rPr>
        <w:t xml:space="preserve"> </w:t>
      </w:r>
      <w:r w:rsidRPr="00F57E29">
        <w:rPr>
          <w:lang w:eastAsia="fr-FR"/>
        </w:rPr>
        <w:t>(одобрен бюджет на проекта)</w:t>
      </w:r>
      <w:r w:rsidRPr="0029224A">
        <w:t>;</w:t>
      </w:r>
    </w:p>
    <w:p w14:paraId="130B2267" w14:textId="77777777" w:rsidR="00CA7242" w:rsidRPr="0029224A" w:rsidRDefault="00CA7242" w:rsidP="00CA7242">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2D3385E3" w14:textId="77777777" w:rsidR="00CA7242" w:rsidRDefault="00CA7242" w:rsidP="00CA7242">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2CA41F58" w14:textId="77777777" w:rsidR="00CA7242" w:rsidRPr="004F6BDF" w:rsidRDefault="00CA7242" w:rsidP="00CA7242">
      <w:pPr>
        <w:spacing w:after="0" w:line="360" w:lineRule="auto"/>
        <w:ind w:firstLine="720"/>
        <w:jc w:val="both"/>
      </w:pPr>
      <w:r>
        <w:rPr>
          <w:rFonts w:eastAsiaTheme="minorHAnsi"/>
          <w:color w:val="000000"/>
          <w:lang w:val="en-US"/>
        </w:rPr>
        <w:t xml:space="preserve">- </w:t>
      </w:r>
      <w:r>
        <w:rPr>
          <w:rFonts w:eastAsiaTheme="minorHAnsi"/>
          <w:color w:val="000000"/>
        </w:rPr>
        <w:t xml:space="preserve">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Pr>
          <w:rFonts w:eastAsiaTheme="minorHAnsi"/>
          <w:color w:val="000000"/>
        </w:rPr>
        <w:t>подмерките</w:t>
      </w:r>
      <w:proofErr w:type="spellEnd"/>
      <w:r>
        <w:rPr>
          <w:rFonts w:eastAsiaTheme="minorHAnsi"/>
          <w:color w:val="000000"/>
        </w:rPr>
        <w:t xml:space="preserve"> от ПРСР 2014-2020“.</w:t>
      </w:r>
    </w:p>
    <w:p w14:paraId="2F53508E" w14:textId="77777777" w:rsidR="00CA7242" w:rsidRPr="00E1529E" w:rsidRDefault="00CA7242" w:rsidP="00CA7242">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2A462C68" w14:textId="77777777" w:rsidR="00CA7242" w:rsidRPr="0029224A" w:rsidRDefault="00CA7242" w:rsidP="00CA7242">
      <w:pPr>
        <w:pStyle w:val="BodyText"/>
        <w:tabs>
          <w:tab w:val="center" w:pos="993"/>
        </w:tabs>
        <w:spacing w:line="360" w:lineRule="auto"/>
        <w:ind w:firstLine="709"/>
        <w:rPr>
          <w:lang w:val="bg-BG"/>
        </w:rPr>
      </w:pPr>
      <w:r w:rsidRPr="00F57E29">
        <w:rPr>
          <w:rFonts w:cs="Times New Roman"/>
          <w:szCs w:val="24"/>
          <w:lang w:val="bg-BG"/>
        </w:rPr>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61225CEF" w14:textId="77777777" w:rsidR="00CA7242" w:rsidRPr="00F57E29" w:rsidRDefault="00CA7242" w:rsidP="00CA7242">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5A9E00E9"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lastRenderedPageBreak/>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9"/>
      <w:headerReference w:type="default" r:id="rId10"/>
      <w:footerReference w:type="even" r:id="rId11"/>
      <w:footerReference w:type="default" r:id="rId12"/>
      <w:headerReference w:type="first" r:id="rId13"/>
      <w:footerReference w:type="first" r:id="rId14"/>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10654" w14:textId="77777777" w:rsidR="00F71483" w:rsidRDefault="00F71483" w:rsidP="004B466E">
      <w:pPr>
        <w:spacing w:after="0" w:line="240" w:lineRule="auto"/>
      </w:pPr>
      <w:r>
        <w:separator/>
      </w:r>
    </w:p>
  </w:endnote>
  <w:endnote w:type="continuationSeparator" w:id="0">
    <w:p w14:paraId="3DEB6261" w14:textId="77777777" w:rsidR="00F71483" w:rsidRDefault="00F71483" w:rsidP="004B466E">
      <w:pPr>
        <w:spacing w:after="0" w:line="240" w:lineRule="auto"/>
      </w:pPr>
      <w:r>
        <w:continuationSeparator/>
      </w:r>
    </w:p>
  </w:endnote>
  <w:endnote w:type="continuationNotice" w:id="1">
    <w:p w14:paraId="04FEDB0C" w14:textId="77777777" w:rsidR="00F71483" w:rsidRDefault="00F714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E782" w14:textId="77777777" w:rsidR="00D518AD" w:rsidRDefault="00D5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0149" w14:textId="3A1C5216" w:rsidR="00D518AD" w:rsidRDefault="00D518AD">
    <w:pPr>
      <w:pStyle w:val="Footer"/>
      <w:jc w:val="right"/>
    </w:pPr>
    <w:r>
      <w:fldChar w:fldCharType="begin"/>
    </w:r>
    <w:r>
      <w:instrText xml:space="preserve"> PAGE   \* MERGEFORMAT </w:instrText>
    </w:r>
    <w:r>
      <w:fldChar w:fldCharType="separate"/>
    </w:r>
    <w:r w:rsidR="002C375B">
      <w:rPr>
        <w:noProof/>
      </w:rPr>
      <w:t>16</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56F96" w14:textId="77777777" w:rsidR="00D518AD" w:rsidRDefault="00D5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820DF" w14:textId="77777777" w:rsidR="00F71483" w:rsidRDefault="00F71483" w:rsidP="004B466E">
      <w:pPr>
        <w:spacing w:after="0" w:line="240" w:lineRule="auto"/>
      </w:pPr>
      <w:r>
        <w:separator/>
      </w:r>
    </w:p>
  </w:footnote>
  <w:footnote w:type="continuationSeparator" w:id="0">
    <w:p w14:paraId="27C0B125" w14:textId="77777777" w:rsidR="00F71483" w:rsidRDefault="00F71483" w:rsidP="004B466E">
      <w:pPr>
        <w:spacing w:after="0" w:line="240" w:lineRule="auto"/>
      </w:pPr>
      <w:r>
        <w:continuationSeparator/>
      </w:r>
    </w:p>
  </w:footnote>
  <w:footnote w:type="continuationNotice" w:id="1">
    <w:p w14:paraId="30274F16" w14:textId="77777777" w:rsidR="00F71483" w:rsidRDefault="00F714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FAB02" w14:textId="77777777" w:rsidR="00D518AD" w:rsidRDefault="00D5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6C9C" w14:textId="77777777" w:rsidR="00D518AD" w:rsidRDefault="00D51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FF078" w14:textId="77777777" w:rsidR="00D518AD" w:rsidRDefault="00D51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50D7"/>
    <w:rsid w:val="00045226"/>
    <w:rsid w:val="00045910"/>
    <w:rsid w:val="0004635A"/>
    <w:rsid w:val="000479DF"/>
    <w:rsid w:val="00050F5E"/>
    <w:rsid w:val="00052EEC"/>
    <w:rsid w:val="0005347B"/>
    <w:rsid w:val="0005439D"/>
    <w:rsid w:val="000579DE"/>
    <w:rsid w:val="00057E56"/>
    <w:rsid w:val="000644F2"/>
    <w:rsid w:val="00064D67"/>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730B"/>
    <w:rsid w:val="00117A63"/>
    <w:rsid w:val="00117A7A"/>
    <w:rsid w:val="00117B07"/>
    <w:rsid w:val="00117D93"/>
    <w:rsid w:val="00130D77"/>
    <w:rsid w:val="00131AD4"/>
    <w:rsid w:val="00132715"/>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2C07"/>
    <w:rsid w:val="001F5112"/>
    <w:rsid w:val="001F579C"/>
    <w:rsid w:val="001F774D"/>
    <w:rsid w:val="002009C4"/>
    <w:rsid w:val="00201EBA"/>
    <w:rsid w:val="00202BCB"/>
    <w:rsid w:val="00205631"/>
    <w:rsid w:val="00206CEE"/>
    <w:rsid w:val="00207A93"/>
    <w:rsid w:val="002100D0"/>
    <w:rsid w:val="00212A9E"/>
    <w:rsid w:val="00214EB3"/>
    <w:rsid w:val="002173E7"/>
    <w:rsid w:val="00225C3C"/>
    <w:rsid w:val="00225ECC"/>
    <w:rsid w:val="002336FA"/>
    <w:rsid w:val="00233CE8"/>
    <w:rsid w:val="00236E45"/>
    <w:rsid w:val="00236FD3"/>
    <w:rsid w:val="002404A1"/>
    <w:rsid w:val="0024274D"/>
    <w:rsid w:val="00244187"/>
    <w:rsid w:val="00247568"/>
    <w:rsid w:val="00250588"/>
    <w:rsid w:val="0025252C"/>
    <w:rsid w:val="00254A50"/>
    <w:rsid w:val="0025744C"/>
    <w:rsid w:val="00257AED"/>
    <w:rsid w:val="002618E7"/>
    <w:rsid w:val="002621FE"/>
    <w:rsid w:val="00272394"/>
    <w:rsid w:val="00275AC3"/>
    <w:rsid w:val="00277812"/>
    <w:rsid w:val="00277C8C"/>
    <w:rsid w:val="0028043E"/>
    <w:rsid w:val="0028356B"/>
    <w:rsid w:val="00291CE3"/>
    <w:rsid w:val="0029224A"/>
    <w:rsid w:val="002959D1"/>
    <w:rsid w:val="00296561"/>
    <w:rsid w:val="00297386"/>
    <w:rsid w:val="00297C93"/>
    <w:rsid w:val="002A221B"/>
    <w:rsid w:val="002A42F5"/>
    <w:rsid w:val="002A6FA2"/>
    <w:rsid w:val="002B078D"/>
    <w:rsid w:val="002B15A9"/>
    <w:rsid w:val="002B1A88"/>
    <w:rsid w:val="002B1F07"/>
    <w:rsid w:val="002B3341"/>
    <w:rsid w:val="002B3AD7"/>
    <w:rsid w:val="002B409C"/>
    <w:rsid w:val="002C17FA"/>
    <w:rsid w:val="002C375B"/>
    <w:rsid w:val="002C62EE"/>
    <w:rsid w:val="002C67C8"/>
    <w:rsid w:val="002D06CC"/>
    <w:rsid w:val="002D4F72"/>
    <w:rsid w:val="002D4FA7"/>
    <w:rsid w:val="002D5EFA"/>
    <w:rsid w:val="002D7D4B"/>
    <w:rsid w:val="002E070C"/>
    <w:rsid w:val="002E277C"/>
    <w:rsid w:val="002E4AA4"/>
    <w:rsid w:val="002E5C87"/>
    <w:rsid w:val="002F1399"/>
    <w:rsid w:val="002F1901"/>
    <w:rsid w:val="002F20A9"/>
    <w:rsid w:val="002F2D7C"/>
    <w:rsid w:val="00302199"/>
    <w:rsid w:val="00303B18"/>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42BD"/>
    <w:rsid w:val="00350084"/>
    <w:rsid w:val="00355573"/>
    <w:rsid w:val="00362AF5"/>
    <w:rsid w:val="00364D48"/>
    <w:rsid w:val="00364D8D"/>
    <w:rsid w:val="003746ED"/>
    <w:rsid w:val="00375D27"/>
    <w:rsid w:val="00381BB4"/>
    <w:rsid w:val="003820CB"/>
    <w:rsid w:val="0038263A"/>
    <w:rsid w:val="00390C8C"/>
    <w:rsid w:val="00390F1A"/>
    <w:rsid w:val="00391B0F"/>
    <w:rsid w:val="00397D37"/>
    <w:rsid w:val="003A04ED"/>
    <w:rsid w:val="003A05D4"/>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C00"/>
    <w:rsid w:val="00466124"/>
    <w:rsid w:val="00473672"/>
    <w:rsid w:val="00473BCC"/>
    <w:rsid w:val="00473FAE"/>
    <w:rsid w:val="004756B1"/>
    <w:rsid w:val="00475C45"/>
    <w:rsid w:val="00482DBB"/>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05E4"/>
    <w:rsid w:val="004D284F"/>
    <w:rsid w:val="004D3490"/>
    <w:rsid w:val="004E1EB8"/>
    <w:rsid w:val="004E1EDB"/>
    <w:rsid w:val="004E54D7"/>
    <w:rsid w:val="004E5AE9"/>
    <w:rsid w:val="004F1F56"/>
    <w:rsid w:val="004F24B9"/>
    <w:rsid w:val="004F4841"/>
    <w:rsid w:val="005032E7"/>
    <w:rsid w:val="0050480A"/>
    <w:rsid w:val="005050FD"/>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4D5D"/>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9AB"/>
    <w:rsid w:val="005914CE"/>
    <w:rsid w:val="005931D9"/>
    <w:rsid w:val="0059328D"/>
    <w:rsid w:val="00593472"/>
    <w:rsid w:val="00594113"/>
    <w:rsid w:val="00595BEA"/>
    <w:rsid w:val="00595FBB"/>
    <w:rsid w:val="005A651D"/>
    <w:rsid w:val="005B0898"/>
    <w:rsid w:val="005B3263"/>
    <w:rsid w:val="005B37CA"/>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5F66"/>
    <w:rsid w:val="00636796"/>
    <w:rsid w:val="0064453D"/>
    <w:rsid w:val="0064580B"/>
    <w:rsid w:val="00655ECA"/>
    <w:rsid w:val="00656728"/>
    <w:rsid w:val="00656A63"/>
    <w:rsid w:val="00656E8C"/>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C3C3F"/>
    <w:rsid w:val="006C743C"/>
    <w:rsid w:val="006D1A28"/>
    <w:rsid w:val="006D236D"/>
    <w:rsid w:val="006D7117"/>
    <w:rsid w:val="006E036E"/>
    <w:rsid w:val="006E186A"/>
    <w:rsid w:val="006E1CA8"/>
    <w:rsid w:val="006F0877"/>
    <w:rsid w:val="006F2223"/>
    <w:rsid w:val="006F26B7"/>
    <w:rsid w:val="006F2E63"/>
    <w:rsid w:val="006F47EE"/>
    <w:rsid w:val="006F7C82"/>
    <w:rsid w:val="00700170"/>
    <w:rsid w:val="007001BF"/>
    <w:rsid w:val="00701148"/>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1B01"/>
    <w:rsid w:val="007623D7"/>
    <w:rsid w:val="00767DAC"/>
    <w:rsid w:val="00770301"/>
    <w:rsid w:val="00770A90"/>
    <w:rsid w:val="007723F4"/>
    <w:rsid w:val="00774C14"/>
    <w:rsid w:val="007771A4"/>
    <w:rsid w:val="007801E7"/>
    <w:rsid w:val="00780F02"/>
    <w:rsid w:val="00781991"/>
    <w:rsid w:val="00786F18"/>
    <w:rsid w:val="00791BFF"/>
    <w:rsid w:val="0079254C"/>
    <w:rsid w:val="00794D8B"/>
    <w:rsid w:val="0079675A"/>
    <w:rsid w:val="007A1B63"/>
    <w:rsid w:val="007A32BC"/>
    <w:rsid w:val="007A42D9"/>
    <w:rsid w:val="007A65F9"/>
    <w:rsid w:val="007B061C"/>
    <w:rsid w:val="007B146E"/>
    <w:rsid w:val="007B149D"/>
    <w:rsid w:val="007B1E53"/>
    <w:rsid w:val="007B4F0A"/>
    <w:rsid w:val="007B7843"/>
    <w:rsid w:val="007B7C3F"/>
    <w:rsid w:val="007C2DC0"/>
    <w:rsid w:val="007C35A6"/>
    <w:rsid w:val="007D5144"/>
    <w:rsid w:val="007E03BF"/>
    <w:rsid w:val="007E1561"/>
    <w:rsid w:val="007E589C"/>
    <w:rsid w:val="007E5B5D"/>
    <w:rsid w:val="007F063B"/>
    <w:rsid w:val="007F10B1"/>
    <w:rsid w:val="007F13B8"/>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3079B"/>
    <w:rsid w:val="00830E8A"/>
    <w:rsid w:val="0083452C"/>
    <w:rsid w:val="00836641"/>
    <w:rsid w:val="008368D2"/>
    <w:rsid w:val="0084058B"/>
    <w:rsid w:val="00841571"/>
    <w:rsid w:val="00841CDC"/>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3C08"/>
    <w:rsid w:val="009008A6"/>
    <w:rsid w:val="009010E0"/>
    <w:rsid w:val="00904B11"/>
    <w:rsid w:val="00904EC9"/>
    <w:rsid w:val="00906743"/>
    <w:rsid w:val="00906A93"/>
    <w:rsid w:val="00910E90"/>
    <w:rsid w:val="00911A87"/>
    <w:rsid w:val="0091591A"/>
    <w:rsid w:val="00915F93"/>
    <w:rsid w:val="00916442"/>
    <w:rsid w:val="009224DD"/>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E79"/>
    <w:rsid w:val="009F7A59"/>
    <w:rsid w:val="009F7C1F"/>
    <w:rsid w:val="00A01829"/>
    <w:rsid w:val="00A01C4B"/>
    <w:rsid w:val="00A06341"/>
    <w:rsid w:val="00A12065"/>
    <w:rsid w:val="00A149F8"/>
    <w:rsid w:val="00A14FBB"/>
    <w:rsid w:val="00A154F7"/>
    <w:rsid w:val="00A1748E"/>
    <w:rsid w:val="00A17BB9"/>
    <w:rsid w:val="00A22242"/>
    <w:rsid w:val="00A233FD"/>
    <w:rsid w:val="00A23A33"/>
    <w:rsid w:val="00A248D6"/>
    <w:rsid w:val="00A26949"/>
    <w:rsid w:val="00A310B3"/>
    <w:rsid w:val="00A318A2"/>
    <w:rsid w:val="00A35AD0"/>
    <w:rsid w:val="00A4201E"/>
    <w:rsid w:val="00A4338C"/>
    <w:rsid w:val="00A52087"/>
    <w:rsid w:val="00A528BA"/>
    <w:rsid w:val="00A55C79"/>
    <w:rsid w:val="00A625CF"/>
    <w:rsid w:val="00A62B60"/>
    <w:rsid w:val="00A67230"/>
    <w:rsid w:val="00A703F4"/>
    <w:rsid w:val="00A72DFA"/>
    <w:rsid w:val="00A8167C"/>
    <w:rsid w:val="00A83E4F"/>
    <w:rsid w:val="00A84421"/>
    <w:rsid w:val="00A85DF1"/>
    <w:rsid w:val="00A919FD"/>
    <w:rsid w:val="00A948EF"/>
    <w:rsid w:val="00A95413"/>
    <w:rsid w:val="00AA047D"/>
    <w:rsid w:val="00AA12FB"/>
    <w:rsid w:val="00AA152A"/>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1B31"/>
    <w:rsid w:val="00AF21C7"/>
    <w:rsid w:val="00AF22D8"/>
    <w:rsid w:val="00AF3EA3"/>
    <w:rsid w:val="00AF54F8"/>
    <w:rsid w:val="00AF5FD9"/>
    <w:rsid w:val="00AF6BD5"/>
    <w:rsid w:val="00B029B0"/>
    <w:rsid w:val="00B02AF2"/>
    <w:rsid w:val="00B06765"/>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2BA0"/>
    <w:rsid w:val="00C23D5F"/>
    <w:rsid w:val="00C242F7"/>
    <w:rsid w:val="00C24376"/>
    <w:rsid w:val="00C2600D"/>
    <w:rsid w:val="00C302FC"/>
    <w:rsid w:val="00C31B14"/>
    <w:rsid w:val="00C33284"/>
    <w:rsid w:val="00C348D2"/>
    <w:rsid w:val="00C34FCD"/>
    <w:rsid w:val="00C36585"/>
    <w:rsid w:val="00C376A5"/>
    <w:rsid w:val="00C4118F"/>
    <w:rsid w:val="00C412F2"/>
    <w:rsid w:val="00C41ED9"/>
    <w:rsid w:val="00C45683"/>
    <w:rsid w:val="00C4643C"/>
    <w:rsid w:val="00C55C3B"/>
    <w:rsid w:val="00C5652F"/>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A7242"/>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221"/>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33D8"/>
    <w:rsid w:val="00E95F23"/>
    <w:rsid w:val="00E96761"/>
    <w:rsid w:val="00E9716F"/>
    <w:rsid w:val="00EA0422"/>
    <w:rsid w:val="00EA619B"/>
    <w:rsid w:val="00EB14B3"/>
    <w:rsid w:val="00EB2CC8"/>
    <w:rsid w:val="00EB4A2D"/>
    <w:rsid w:val="00EB5062"/>
    <w:rsid w:val="00EB56A1"/>
    <w:rsid w:val="00EB57C6"/>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501B"/>
    <w:rsid w:val="00F07200"/>
    <w:rsid w:val="00F20832"/>
    <w:rsid w:val="00F20B09"/>
    <w:rsid w:val="00F302CA"/>
    <w:rsid w:val="00F3292C"/>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70DF5"/>
    <w:rsid w:val="00F71483"/>
    <w:rsid w:val="00F72AF4"/>
    <w:rsid w:val="00F772F7"/>
    <w:rsid w:val="00F77F26"/>
    <w:rsid w:val="00F83DD2"/>
    <w:rsid w:val="00F8552D"/>
    <w:rsid w:val="00F86000"/>
    <w:rsid w:val="00F86DC1"/>
    <w:rsid w:val="00F92C5A"/>
    <w:rsid w:val="00F9380A"/>
    <w:rsid w:val="00F9404D"/>
    <w:rsid w:val="00F95C13"/>
    <w:rsid w:val="00FA2257"/>
    <w:rsid w:val="00FA2FFF"/>
    <w:rsid w:val="00FB0186"/>
    <w:rsid w:val="00FB15CA"/>
    <w:rsid w:val="00FB315B"/>
    <w:rsid w:val="00FB461A"/>
    <w:rsid w:val="00FB4EC3"/>
    <w:rsid w:val="00FB63D0"/>
    <w:rsid w:val="00FB6FC3"/>
    <w:rsid w:val="00FB7724"/>
    <w:rsid w:val="00FC663C"/>
    <w:rsid w:val="00FC7851"/>
    <w:rsid w:val="00FD19F3"/>
    <w:rsid w:val="00FD1ECA"/>
    <w:rsid w:val="00FD30B1"/>
    <w:rsid w:val="00FD34FF"/>
    <w:rsid w:val="00FD5307"/>
    <w:rsid w:val="00FD58C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15:docId w15:val="{385A3B64-0417-4AD2-BCED-25C056F5A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143FA-B061-462E-A9B7-B33C6EF58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5165</Words>
  <Characters>29445</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34541</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Donka Yordanova</cp:lastModifiedBy>
  <cp:revision>4</cp:revision>
  <cp:lastPrinted>2018-03-06T13:55:00Z</cp:lastPrinted>
  <dcterms:created xsi:type="dcterms:W3CDTF">2025-08-14T13:11:00Z</dcterms:created>
  <dcterms:modified xsi:type="dcterms:W3CDTF">2025-09-01T07:19:00Z</dcterms:modified>
</cp:coreProperties>
</file>